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sz w:val="64"/>
                <w:lang w:val="en-US"/>
              </w:rPr>
              <w:t>43</w:t>
            </w:r>
            <w:r>
              <w:rPr>
                <w:sz w:val="64"/>
                <w:lang w:val="sv-SE"/>
              </w:rPr>
              <w:t xml:space="preserve"> </w:t>
            </w:r>
            <w:r>
              <w:rPr>
                <w:lang w:val="sv-SE"/>
              </w:rPr>
              <w:t>V</w:t>
            </w:r>
            <w:bookmarkStart w:id="3" w:name="specVersion"/>
            <w:r>
              <w:rPr>
                <w:lang w:val="sv-SE"/>
              </w:rPr>
              <w:t>0.</w:t>
            </w:r>
            <w:r>
              <w:rPr>
                <w:lang w:val="en-US"/>
              </w:rPr>
              <w:t>1</w:t>
            </w:r>
            <w:r>
              <w:rPr>
                <w:lang w:val="sv-SE"/>
              </w:rPr>
              <w:t>.</w:t>
            </w:r>
            <w:bookmarkEnd w:id="3"/>
            <w:r>
              <w:rPr>
                <w:lang w:val="sv-SE"/>
              </w:rPr>
              <w:t xml:space="preserve">0 </w:t>
            </w:r>
            <w:r>
              <w:rPr>
                <w:sz w:val="32"/>
                <w:lang w:val="sv-SE"/>
              </w:rPr>
              <w:t>(</w:t>
            </w:r>
            <w:bookmarkStart w:id="4" w:name="issueDate"/>
            <w:r>
              <w:rPr>
                <w:sz w:val="32"/>
                <w:lang w:val="sv-SE"/>
              </w:rPr>
              <w:t>2022-</w:t>
            </w:r>
            <w:bookmarkEnd w:id="4"/>
            <w:r>
              <w:rPr>
                <w:sz w:val="32"/>
                <w:lang w:val="sv-SE"/>
              </w:rPr>
              <w:t>0</w:t>
            </w:r>
            <w:r>
              <w:rPr>
                <w:sz w:val="32"/>
                <w:lang w:val="en-US"/>
              </w:rPr>
              <w:t>9</w:t>
            </w:r>
            <w:r>
              <w:rPr>
                <w:sz w:val="32"/>
                <w:lang w:val="sv-S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TSG SA;</w:t>
            </w:r>
          </w:p>
          <w:p>
            <w:pPr>
              <w:pStyle w:val="52"/>
              <w:framePr w:wrap="auto" w:vAnchor="margin" w:hAnchor="text" w:yAlign="inline"/>
              <w:wordWrap w:val="0"/>
              <w:rPr>
                <w:lang w:val="en-US"/>
              </w:rPr>
            </w:pPr>
            <w:r>
              <w:t xml:space="preserve">Study on </w:t>
            </w:r>
            <w:bookmarkEnd w:id="6"/>
            <w:r>
              <w:rPr>
                <w:rFonts w:hint="eastAsia"/>
              </w:rPr>
              <w:t>Uncrewed Aerial Vehicle</w:t>
            </w:r>
            <w:r>
              <w:rPr>
                <w:lang w:val="en-US"/>
              </w:rPr>
              <w:t xml:space="preserve"> (UAV) Phase 3</w:t>
            </w:r>
          </w:p>
          <w:p>
            <w:pPr>
              <w:pStyle w:val="52"/>
              <w:framePr w:wrap="auto" w:vAnchor="margin" w:hAnchor="text" w:yAlign="inline"/>
              <w:rPr>
                <w:i/>
                <w:sz w:val="28"/>
              </w:rPr>
            </w:pPr>
            <w:r>
              <w:t>(</w:t>
            </w:r>
            <w:r>
              <w:rPr>
                <w:rStyle w:val="32"/>
              </w:rPr>
              <w:t xml:space="preserve">Release </w:t>
            </w:r>
            <w:bookmarkStart w:id="7" w:name="specRelease"/>
            <w:r>
              <w:rPr>
                <w:rStyle w:val="32"/>
              </w:rPr>
              <w:t>1</w:t>
            </w:r>
            <w:bookmarkEnd w:id="7"/>
            <w:r>
              <w:rPr>
                <w:rStyle w:val="32"/>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9"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10"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1"/>
          </w:p>
          <w:p/>
        </w:tc>
      </w:tr>
      <w:bookmarkEnd w:id="9"/>
    </w:tbl>
    <w:p>
      <w:pPr>
        <w:pStyle w:val="34"/>
      </w:pPr>
      <w:r>
        <w:br w:type="page"/>
      </w:r>
      <w:bookmarkStart w:id="14" w:name="tableOfContents"/>
      <w:bookmarkEnd w:id="14"/>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_Toc113353839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_Toc113353840 \h </w:instrText>
      </w:r>
      <w:r>
        <w:fldChar w:fldCharType="separate"/>
      </w:r>
      <w:r>
        <w:t>5</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_Toc113353841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_Toc113353842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_Toc113353843 \h </w:instrText>
      </w:r>
      <w:r>
        <w:fldChar w:fldCharType="separate"/>
      </w:r>
      <w:r>
        <w:t>6</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_Toc113353844 \h </w:instrText>
      </w:r>
      <w:r>
        <w:fldChar w:fldCharType="separate"/>
      </w:r>
      <w:r>
        <w:t>6</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_Toc113353845 \h </w:instrText>
      </w:r>
      <w:r>
        <w:fldChar w:fldCharType="separate"/>
      </w:r>
      <w:r>
        <w:t>6</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_Toc113353846 \h </w:instrText>
      </w:r>
      <w:r>
        <w:fldChar w:fldCharType="separate"/>
      </w:r>
      <w:r>
        <w:t>7</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_Toc113353847 \h </w:instrText>
      </w:r>
      <w:r>
        <w:fldChar w:fldCharType="separate"/>
      </w:r>
      <w:r>
        <w:t>7</w:t>
      </w:r>
      <w:r>
        <w:fldChar w:fldCharType="end"/>
      </w:r>
    </w:p>
    <w:p>
      <w:pPr>
        <w:pStyle w:val="17"/>
        <w:rPr>
          <w:rFonts w:asciiTheme="minorHAnsi" w:hAnsiTheme="minorHAnsi" w:cstheme="minorBidi"/>
          <w:kern w:val="2"/>
          <w:sz w:val="21"/>
          <w:szCs w:val="22"/>
          <w:lang w:val="en-US" w:eastAsia="zh-CN"/>
        </w:rPr>
      </w:pPr>
      <w:r>
        <w:rPr>
          <w:lang w:val="en-US"/>
        </w:rPr>
        <w:t>5</w:t>
      </w:r>
      <w:r>
        <w:t>.1</w:t>
      </w:r>
      <w:r>
        <w:rPr>
          <w:rFonts w:asciiTheme="minorHAnsi" w:hAnsiTheme="minorHAnsi" w:cstheme="minorBidi"/>
          <w:kern w:val="2"/>
          <w:sz w:val="21"/>
          <w:szCs w:val="22"/>
          <w:lang w:val="en-US" w:eastAsia="zh-CN"/>
        </w:rPr>
        <w:tab/>
      </w:r>
      <w:r>
        <w:t>Use case</w:t>
      </w:r>
      <w:r>
        <w:rPr>
          <w:lang w:val="en-US"/>
        </w:rPr>
        <w:t xml:space="preserve"> on</w:t>
      </w:r>
      <w:r>
        <w:t xml:space="preserve"> UAV detection</w:t>
      </w:r>
      <w:r>
        <w:tab/>
      </w:r>
      <w:r>
        <w:fldChar w:fldCharType="begin"/>
      </w:r>
      <w:r>
        <w:instrText xml:space="preserve"> PAGEREF _Toc113353848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_Toc113353849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_Toc113353850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_Toc113353851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_Toc113353852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.5</w:t>
      </w:r>
      <w:r>
        <w:rPr>
          <w:rFonts w:asciiTheme="minorHAnsi" w:hAnsiTheme="minorHAnsi" w:cstheme="minorBidi"/>
          <w:kern w:val="2"/>
          <w:sz w:val="21"/>
          <w:szCs w:val="22"/>
          <w:lang w:val="en-US" w:eastAsia="zh-CN"/>
        </w:rPr>
        <w:tab/>
      </w:r>
      <w:r>
        <w:t>Existing feature</w:t>
      </w:r>
      <w:r>
        <w:rPr>
          <w:lang w:val="en-US"/>
        </w:rPr>
        <w:t>s</w:t>
      </w:r>
      <w:r>
        <w:t xml:space="preserve"> partly or fully covering</w:t>
      </w:r>
      <w:r>
        <w:rPr>
          <w:lang w:val="en-US"/>
        </w:rPr>
        <w:t xml:space="preserve"> the </w:t>
      </w:r>
      <w:r>
        <w:t>use case functionality</w:t>
      </w:r>
      <w:r>
        <w:tab/>
      </w:r>
      <w:r>
        <w:fldChar w:fldCharType="begin"/>
      </w:r>
      <w:r>
        <w:instrText xml:space="preserve"> PAGEREF _Toc113353853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_Toc113353854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val="en-US"/>
        </w:rPr>
        <w:t>5.2</w:t>
      </w:r>
      <w:r>
        <w:rPr>
          <w:rFonts w:asciiTheme="minorHAnsi" w:hAnsiTheme="minorHAnsi" w:cstheme="minorBidi"/>
          <w:kern w:val="2"/>
          <w:sz w:val="21"/>
          <w:szCs w:val="22"/>
          <w:lang w:val="en-US" w:eastAsia="zh-CN"/>
        </w:rPr>
        <w:tab/>
      </w:r>
      <w:r>
        <w:rPr>
          <w:lang w:val="en-US"/>
        </w:rPr>
        <w:t>Use case on supporting UAV pre-flight preparation</w:t>
      </w:r>
      <w:r>
        <w:tab/>
      </w:r>
      <w:r>
        <w:fldChar w:fldCharType="begin"/>
      </w:r>
      <w:r>
        <w:instrText xml:space="preserve"> PAGEREF _Toc113353855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_Toc113353856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_Toc113353857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_Toc113353858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_Toc113353859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.5</w:t>
      </w:r>
      <w:r>
        <w:rPr>
          <w:rFonts w:asciiTheme="minorHAnsi" w:hAnsiTheme="minorHAnsi" w:cstheme="minorBidi"/>
          <w:kern w:val="2"/>
          <w:sz w:val="21"/>
          <w:szCs w:val="22"/>
          <w:lang w:val="en-US" w:eastAsia="zh-CN"/>
        </w:rPr>
        <w:tab/>
      </w:r>
      <w:r>
        <w:t>Existing feature</w:t>
      </w:r>
      <w:r>
        <w:rPr>
          <w:lang w:val="en-US"/>
        </w:rPr>
        <w:t>s</w:t>
      </w:r>
      <w:r>
        <w:t xml:space="preserve"> partly or fully covering</w:t>
      </w:r>
      <w:r>
        <w:rPr>
          <w:lang w:val="en-US"/>
        </w:rPr>
        <w:t xml:space="preserve"> the </w:t>
      </w:r>
      <w:r>
        <w:t>use case functionality</w:t>
      </w:r>
      <w:r>
        <w:tab/>
      </w:r>
      <w:r>
        <w:fldChar w:fldCharType="begin"/>
      </w:r>
      <w:r>
        <w:instrText xml:space="preserve"> PAGEREF _Toc113353860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val="en-US"/>
        </w:rPr>
        <w:t>5</w:t>
      </w:r>
      <w:r>
        <w:t>.</w:t>
      </w:r>
      <w:r>
        <w:rPr>
          <w:rFonts w:eastAsia="宋体"/>
          <w:lang w:val="en-US" w:eastAsia="zh-CN"/>
        </w:rPr>
        <w:t>2</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_Toc113353861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_Toc113353862 \h </w:instrText>
      </w:r>
      <w:r>
        <w:fldChar w:fldCharType="separate"/>
      </w:r>
      <w:r>
        <w:t>9</w:t>
      </w:r>
      <w:r>
        <w:fldChar w:fldCharType="end"/>
      </w:r>
    </w:p>
    <w:p>
      <w:pPr>
        <w:pStyle w:val="18"/>
        <w:rPr>
          <w:rFonts w:asciiTheme="minorHAnsi" w:hAnsiTheme="minorHAnsi" w:cstheme="minorBidi"/>
          <w:kern w:val="2"/>
          <w:sz w:val="21"/>
          <w:szCs w:val="22"/>
          <w:lang w:val="en-US" w:eastAsia="zh-CN"/>
        </w:rPr>
      </w:pPr>
      <w:r>
        <w:rPr>
          <w:lang w:val="en-US"/>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_Toc113353863 \h </w:instrText>
      </w:r>
      <w:r>
        <w:fldChar w:fldCharType="separate"/>
      </w:r>
      <w:r>
        <w:t>9</w:t>
      </w:r>
      <w:r>
        <w:fldChar w:fldCharType="end"/>
      </w:r>
    </w:p>
    <w:p>
      <w:pPr>
        <w:pStyle w:val="2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_Toc113353864 \h </w:instrText>
      </w:r>
      <w:r>
        <w:fldChar w:fldCharType="separate"/>
      </w:r>
      <w:r>
        <w:t>9</w:t>
      </w:r>
      <w:r>
        <w:fldChar w:fldCharType="end"/>
      </w:r>
    </w:p>
    <w:p>
      <w:r>
        <w:rPr>
          <w:sz w:val="22"/>
        </w:rPr>
        <w:fldChar w:fldCharType="end"/>
      </w:r>
    </w:p>
    <w:p>
      <w:pPr>
        <w:pStyle w:val="65"/>
      </w:pPr>
      <w:r>
        <w:br w:type="page"/>
      </w:r>
    </w:p>
    <w:p>
      <w:pPr>
        <w:pStyle w:val="2"/>
      </w:pPr>
      <w:bookmarkStart w:id="15" w:name="foreword"/>
      <w:bookmarkEnd w:id="15"/>
      <w:bookmarkStart w:id="16" w:name="_Toc113353839"/>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13353840"/>
      <w:r>
        <w:t>Introduction</w:t>
      </w:r>
      <w:bookmarkEnd w:id="19"/>
    </w:p>
    <w:p>
      <w:pPr>
        <w:pStyle w:val="65"/>
      </w:pPr>
      <w:r>
        <w:t>This clause is optional. If it exists, it shall be the second unnumbered clause.</w:t>
      </w:r>
    </w:p>
    <w:p>
      <w:pPr>
        <w:pStyle w:val="2"/>
      </w:pPr>
      <w:r>
        <w:br w:type="page"/>
      </w:r>
      <w:bookmarkStart w:id="20" w:name="scope"/>
      <w:bookmarkEnd w:id="20"/>
      <w:bookmarkStart w:id="21" w:name="_Toc113353841"/>
      <w:r>
        <w:t>1</w:t>
      </w:r>
      <w:r>
        <w:tab/>
      </w:r>
      <w:r>
        <w:t>Scope</w:t>
      </w:r>
      <w:bookmarkEnd w:id="21"/>
    </w:p>
    <w:p>
      <w:pPr>
        <w:overflowPunct w:val="0"/>
        <w:autoSpaceDE w:val="0"/>
        <w:autoSpaceDN w:val="0"/>
        <w:adjustRightInd w:val="0"/>
        <w:textAlignment w:val="baseline"/>
        <w:rPr>
          <w:rFonts w:eastAsia="Times New Roman"/>
          <w:i/>
          <w:color w:val="auto"/>
          <w:lang w:val="en-US" w:eastAsia="ko-KR"/>
        </w:rPr>
      </w:pPr>
      <w:r>
        <w:rPr>
          <w:rFonts w:eastAsia="Times New Roman"/>
          <w:lang w:val="en-US" w:eastAsia="ko-KR"/>
        </w:rPr>
        <w:t xml:space="preserve">The present document provides additional use cases of UAV and identifies potential requirements to improve 5G system’s support of UAV applications, drone operations and management, including: </w:t>
      </w:r>
    </w:p>
    <w:p>
      <w:pPr>
        <w:pStyle w:val="47"/>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47"/>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lang w:val="en-US"/>
        </w:rPr>
        <w:t>cing</w:t>
      </w:r>
      <w:r>
        <w:rPr>
          <w:rFonts w:hint="eastAsia"/>
        </w:rPr>
        <w:t xml:space="preserve"> the </w:t>
      </w:r>
      <w:r>
        <w:rPr>
          <w:lang w:val="en-US" w:eastAsia="zh-CN"/>
        </w:rPr>
        <w:t>UAV flight/route management based on network capacity and QoS information along the planned route;</w:t>
      </w:r>
    </w:p>
    <w:p>
      <w:pPr>
        <w:pStyle w:val="47"/>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p>
    <w:p>
      <w:pPr>
        <w:pStyle w:val="47"/>
        <w:numPr>
          <w:ilvl w:val="0"/>
          <w:numId w:val="1"/>
        </w:numPr>
        <w:rPr>
          <w:lang w:val="en-US" w:eastAsia="zh-CN"/>
        </w:rPr>
      </w:pPr>
      <w:r>
        <w:rPr>
          <w:lang w:val="en-US" w:eastAsia="zh-CN"/>
        </w:rPr>
        <w:t>Identify potential new security, charging and regulatory requirements on 5GS, when used for UAS operation.</w:t>
      </w:r>
    </w:p>
    <w:p>
      <w:pPr>
        <w:pStyle w:val="47"/>
        <w:numPr>
          <w:ilvl w:val="0"/>
          <w:numId w:val="1"/>
        </w:numPr>
        <w:rPr>
          <w:lang w:val="en-US" w:eastAsia="zh-CN"/>
        </w:rPr>
      </w:pPr>
      <w:r>
        <w:rPr>
          <w:lang w:val="en-US" w:eastAsia="zh-CN"/>
        </w:rPr>
        <w:t>Identify potential new requirements related to redundancy and reliability of command and control (C2) traffic for UAV.</w:t>
      </w:r>
    </w:p>
    <w:p>
      <w:pPr>
        <w:overflowPunct w:val="0"/>
        <w:autoSpaceDE w:val="0"/>
        <w:autoSpaceDN w:val="0"/>
        <w:adjustRightInd w:val="0"/>
        <w:textAlignment w:val="baseline"/>
        <w:rPr>
          <w:lang w:val="en-US" w:eastAsia="ko-KR"/>
        </w:rPr>
      </w:pPr>
      <w:r>
        <w:rPr>
          <w:rFonts w:eastAsia="Times New Roman"/>
          <w:lang w:val="en-US" w:eastAsia="ko-KR"/>
        </w:rPr>
        <w:t>For the identified use cases, a gap analysis is performed between potential new service requirements and existing 3GPP requirements and functionalities.</w:t>
      </w:r>
    </w:p>
    <w:p>
      <w:pPr>
        <w:pStyle w:val="36"/>
        <w:overflowPunct w:val="0"/>
        <w:autoSpaceDE w:val="0"/>
        <w:autoSpaceDN w:val="0"/>
        <w:adjustRightInd w:val="0"/>
        <w:ind w:left="1135" w:leftChars="0" w:hanging="851" w:firstLineChars="0"/>
        <w:textAlignment w:val="baseline"/>
        <w:rPr>
          <w:rFonts w:eastAsia="Times New Roman"/>
          <w:lang w:val="en-GB" w:eastAsia="ko-KR"/>
        </w:rPr>
      </w:pPr>
      <w:r>
        <w:rPr>
          <w:rFonts w:eastAsia="Times New Roman"/>
          <w:lang w:val="en-GB" w:eastAsia="ko-KR"/>
        </w:rPr>
        <w:t>NOTE:</w:t>
      </w:r>
      <w:r>
        <w:rPr>
          <w:rFonts w:eastAsia="Times New Roman"/>
          <w:lang w:eastAsia="ko-KR"/>
        </w:rPr>
        <w:tab/>
      </w:r>
      <w:r>
        <w:rPr>
          <w:rFonts w:eastAsia="Times New Roman"/>
          <w:lang w:val="en-GB" w:eastAsia="ko-KR"/>
        </w:rPr>
        <w:t>This study investigates requirements for additional 5GS capabilities to assist UTM, with the assumption that   liability and responsibility for drones operation remain under the domain of the UTM/drone operator.</w:t>
      </w:r>
    </w:p>
    <w:p>
      <w:pPr>
        <w:pStyle w:val="36"/>
        <w:overflowPunct w:val="0"/>
        <w:autoSpaceDE w:val="0"/>
        <w:autoSpaceDN w:val="0"/>
        <w:adjustRightInd w:val="0"/>
        <w:textAlignment w:val="baseline"/>
        <w:rPr>
          <w:rFonts w:eastAsia="Times New Roman"/>
          <w:lang w:eastAsia="ko-KR"/>
        </w:rPr>
      </w:pPr>
      <w:r>
        <w:rPr>
          <w:rFonts w:eastAsia="Times New Roman"/>
          <w:lang w:val="en-GB" w:eastAsia="ko-KR"/>
        </w:rPr>
        <w:t>NOTE:</w:t>
      </w:r>
      <w:r>
        <w:rPr>
          <w:rFonts w:eastAsia="Times New Roman"/>
          <w:lang w:eastAsia="ko-KR"/>
        </w:rPr>
        <w:tab/>
      </w:r>
      <w:r>
        <w:rPr>
          <w:rFonts w:eastAsia="Times New Roman"/>
          <w:lang w:val="en-GB" w:eastAsia="ko-KR"/>
        </w:rPr>
        <w:t>Potential overlaps with ongoing stage-2 work (on UAS), and other S1 studies (e.g. FS_Sensing) have been    considered and avoided.</w:t>
      </w:r>
    </w:p>
    <w:p>
      <w:pPr>
        <w:pStyle w:val="2"/>
      </w:pPr>
      <w:bookmarkStart w:id="22" w:name="references"/>
      <w:bookmarkEnd w:id="22"/>
      <w:bookmarkStart w:id="23" w:name="_Toc113353842"/>
      <w:r>
        <w:t>2</w:t>
      </w:r>
      <w:r>
        <w:tab/>
      </w:r>
      <w:r>
        <w:t>References</w:t>
      </w:r>
      <w:bookmarkEnd w:id="23"/>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pPr>
      <w:r>
        <w:t>…</w:t>
      </w:r>
    </w:p>
    <w:p>
      <w:pPr>
        <w:pStyle w:val="43"/>
      </w:pPr>
      <w:r>
        <w:t>[x]</w:t>
      </w:r>
      <w:r>
        <w:tab/>
      </w:r>
      <w:r>
        <w:t>&lt;doctype&gt; &lt;#&gt;[ ([up to and including]{yyyy[-mm]|V&lt;a[.b[.c]]&gt;}[onwards])]: "&lt;Title&gt;".</w:t>
      </w:r>
    </w:p>
    <w:p>
      <w:pPr>
        <w:pStyle w:val="2"/>
      </w:pPr>
      <w:bookmarkStart w:id="24" w:name="definitions"/>
      <w:bookmarkEnd w:id="24"/>
      <w:bookmarkStart w:id="25" w:name="_Toc113353843"/>
      <w:r>
        <w:t>3</w:t>
      </w:r>
      <w:r>
        <w:tab/>
      </w:r>
      <w:r>
        <w:t>Definitions of terms, symbols and abbreviations</w:t>
      </w:r>
      <w:bookmarkEnd w:id="25"/>
    </w:p>
    <w:p>
      <w:pPr>
        <w:pStyle w:val="3"/>
      </w:pPr>
      <w:bookmarkStart w:id="26" w:name="_Toc113353844"/>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5"/>
      </w:pPr>
      <w:r>
        <w:rPr>
          <w:b/>
        </w:rPr>
        <w:t>&lt;defined term&gt;:</w:t>
      </w:r>
      <w:r>
        <w:t xml:space="preserve"> &lt;definition&gt;.</w:t>
      </w:r>
    </w:p>
    <w:p>
      <w:r>
        <w:rPr>
          <w:b/>
        </w:rPr>
        <w:t>example:</w:t>
      </w:r>
      <w:r>
        <w:t xml:space="preserve"> text used to clarify abstract rules by applying them literally.</w:t>
      </w:r>
    </w:p>
    <w:p>
      <w:pPr>
        <w:pStyle w:val="3"/>
      </w:pPr>
      <w:bookmarkStart w:id="27" w:name="_Toc113353845"/>
      <w:r>
        <w:t>3.2</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28" w:name="clause4"/>
      <w:bookmarkEnd w:id="28"/>
      <w:bookmarkStart w:id="29" w:name="_Toc113353846"/>
      <w:r>
        <w:t>4</w:t>
      </w:r>
      <w:r>
        <w:tab/>
      </w:r>
      <w:r>
        <w:t>Overview</w:t>
      </w:r>
      <w:bookmarkEnd w:id="29"/>
    </w:p>
    <w:p>
      <w:pPr>
        <w:overflowPunct w:val="0"/>
        <w:autoSpaceDE w:val="0"/>
        <w:autoSpaceDN w:val="0"/>
        <w:adjustRightInd w:val="0"/>
        <w:textAlignment w:val="baseline"/>
        <w:rPr>
          <w:rFonts w:eastAsia="Times New Roman"/>
          <w:lang w:val="en-US" w:eastAsia="ko-KR"/>
        </w:rPr>
      </w:pPr>
      <w:r>
        <w:rPr>
          <w:rFonts w:eastAsia="Times New Roman"/>
          <w:lang w:eastAsia="ko-KR"/>
        </w:rPr>
        <w:t>The present document focuses on</w:t>
      </w:r>
      <w:r>
        <w:rPr>
          <w:rFonts w:eastAsia="Times New Roman"/>
          <w:lang w:val="en-US" w:eastAsia="ko-KR"/>
        </w:rPr>
        <w:t xml:space="preserve"> improving </w:t>
      </w:r>
      <w:r>
        <w:rPr>
          <w:rFonts w:eastAsia="Times New Roman"/>
          <w:lang w:eastAsia="ko-KR"/>
        </w:rPr>
        <w:t xml:space="preserve"> the 3GPP support for </w:t>
      </w:r>
      <w:r>
        <w:rPr>
          <w:rFonts w:eastAsia="Times New Roman"/>
          <w:lang w:val="en-US" w:eastAsia="ko-KR"/>
        </w:rPr>
        <w:t>the</w:t>
      </w:r>
      <w:r>
        <w:rPr>
          <w:rFonts w:eastAsia="Times New Roman"/>
          <w:lang w:eastAsia="ko-KR"/>
        </w:rPr>
        <w:t xml:space="preserve"> applications and </w:t>
      </w:r>
      <w:r>
        <w:rPr>
          <w:rFonts w:eastAsia="Times New Roman"/>
          <w:lang w:val="en-US" w:eastAsia="ko-KR"/>
        </w:rPr>
        <w:t xml:space="preserve">security for </w:t>
      </w:r>
      <w:r>
        <w:rPr>
          <w:rFonts w:eastAsia="Times New Roman"/>
          <w:lang w:eastAsia="ko-KR"/>
        </w:rPr>
        <w:t xml:space="preserve">various </w:t>
      </w:r>
      <w:r>
        <w:rPr>
          <w:rFonts w:eastAsia="Times New Roman"/>
          <w:lang w:val="en-US" w:eastAsia="ko-KR"/>
        </w:rPr>
        <w:t>scenario</w:t>
      </w:r>
      <w:r>
        <w:rPr>
          <w:rFonts w:eastAsia="Times New Roman"/>
          <w:lang w:eastAsia="ko-KR"/>
        </w:rPr>
        <w:t xml:space="preserve">s </w:t>
      </w:r>
      <w:r>
        <w:rPr>
          <w:rFonts w:eastAsia="Times New Roman"/>
          <w:lang w:val="en-US" w:eastAsia="ko-KR"/>
        </w:rPr>
        <w:t xml:space="preserve">using </w:t>
      </w:r>
      <w:r>
        <w:rPr>
          <w:rFonts w:eastAsia="Times New Roman"/>
          <w:lang w:eastAsia="ko-KR"/>
        </w:rPr>
        <w:t>low altitude UAVs. The present document pr</w:t>
      </w:r>
      <w:r>
        <w:rPr>
          <w:rFonts w:eastAsia="Times New Roman"/>
          <w:lang w:val="en-US" w:eastAsia="ko-KR"/>
        </w:rPr>
        <w:t>ovide</w:t>
      </w:r>
      <w:r>
        <w:rPr>
          <w:rFonts w:eastAsia="Times New Roman"/>
          <w:lang w:eastAsia="ko-KR"/>
        </w:rPr>
        <w:t xml:space="preserve">s </w:t>
      </w:r>
      <w:r>
        <w:rPr>
          <w:rFonts w:eastAsia="Times New Roman"/>
          <w:lang w:val="en-US" w:eastAsia="ko-KR"/>
        </w:rPr>
        <w:t xml:space="preserve">potential </w:t>
      </w:r>
      <w:r>
        <w:rPr>
          <w:rFonts w:eastAsia="Times New Roman"/>
          <w:lang w:eastAsia="ko-KR"/>
        </w:rPr>
        <w:t>use cases and defines potential new service level requirements and KPIs for</w:t>
      </w:r>
      <w:r>
        <w:rPr>
          <w:rFonts w:eastAsia="Times New Roman"/>
          <w:lang w:val="en-US" w:eastAsia="ko-KR"/>
        </w:rPr>
        <w:t xml:space="preserve"> </w:t>
      </w:r>
      <w:r>
        <w:rPr>
          <w:rFonts w:eastAsia="Times New Roman"/>
          <w:lang w:eastAsia="ko-KR"/>
        </w:rPr>
        <w:t xml:space="preserve">supporting </w:t>
      </w:r>
      <w:r>
        <w:rPr>
          <w:rFonts w:eastAsia="Times New Roman"/>
          <w:lang w:val="en-US" w:eastAsia="ko-KR"/>
        </w:rPr>
        <w:t>identified</w:t>
      </w:r>
      <w:r>
        <w:rPr>
          <w:rFonts w:eastAsia="Times New Roman"/>
          <w:lang w:eastAsia="ko-KR"/>
        </w:rPr>
        <w:t xml:space="preserve"> </w:t>
      </w:r>
      <w:r>
        <w:rPr>
          <w:rFonts w:eastAsia="Times New Roman"/>
          <w:lang w:val="en-US" w:eastAsia="ko-KR"/>
        </w:rPr>
        <w:t>use cases</w:t>
      </w:r>
      <w:r>
        <w:rPr>
          <w:rFonts w:eastAsia="Times New Roman"/>
          <w:lang w:eastAsia="ko-KR"/>
        </w:rPr>
        <w:t xml:space="preserve"> by</w:t>
      </w:r>
      <w:r>
        <w:rPr>
          <w:rFonts w:eastAsia="Times New Roman"/>
          <w:lang w:val="en-US" w:eastAsia="ko-KR"/>
        </w:rPr>
        <w:t xml:space="preserve"> </w:t>
      </w:r>
      <w:r>
        <w:rPr>
          <w:rFonts w:eastAsia="Times New Roman"/>
          <w:lang w:eastAsia="ko-KR"/>
        </w:rPr>
        <w:t>3GPP system</w:t>
      </w:r>
      <w:r>
        <w:rPr>
          <w:rFonts w:eastAsia="Times New Roman"/>
          <w:lang w:val="en-US" w:eastAsia="ko-KR"/>
        </w:rPr>
        <w:t>.</w:t>
      </w:r>
      <w:r>
        <w:rPr>
          <w:rFonts w:eastAsia="Times New Roman"/>
          <w:lang w:eastAsia="ko-KR"/>
        </w:rPr>
        <w:t xml:space="preserve"> </w:t>
      </w:r>
    </w:p>
    <w:p>
      <w:pPr>
        <w:pStyle w:val="36"/>
        <w:overflowPunct w:val="0"/>
        <w:autoSpaceDE w:val="0"/>
        <w:autoSpaceDN w:val="0"/>
        <w:adjustRightInd w:val="0"/>
        <w:ind w:left="0" w:firstLine="0"/>
        <w:textAlignment w:val="baseline"/>
        <w:rPr>
          <w:rFonts w:eastAsia="Times New Roman"/>
          <w:lang w:eastAsia="en-GB"/>
        </w:rPr>
      </w:pPr>
    </w:p>
    <w:p>
      <w:pPr>
        <w:pStyle w:val="2"/>
      </w:pPr>
      <w:bookmarkStart w:id="30" w:name="_Toc108086217"/>
      <w:bookmarkStart w:id="31" w:name="_Toc113353847"/>
      <w:r>
        <w:t>5</w:t>
      </w:r>
      <w:r>
        <w:tab/>
      </w:r>
      <w:bookmarkEnd w:id="30"/>
      <w:r>
        <w:t>Use cases</w:t>
      </w:r>
      <w:bookmarkEnd w:id="31"/>
    </w:p>
    <w:p>
      <w:pPr>
        <w:pStyle w:val="3"/>
      </w:pPr>
      <w:bookmarkStart w:id="32" w:name="_Toc113353848"/>
      <w:r>
        <w:rPr>
          <w:lang w:val="en-US"/>
        </w:rPr>
        <w:t>5</w:t>
      </w:r>
      <w:r>
        <w:t>.1</w:t>
      </w:r>
      <w:r>
        <w:tab/>
      </w:r>
      <w:r>
        <w:t>Use case</w:t>
      </w:r>
      <w:r>
        <w:rPr>
          <w:lang w:val="en-US"/>
        </w:rPr>
        <w:t xml:space="preserve"> on</w:t>
      </w:r>
      <w:r>
        <w:t xml:space="preserve"> </w:t>
      </w:r>
      <w:r>
        <w:rPr>
          <w:rFonts w:hint="eastAsia"/>
        </w:rPr>
        <w:t>UAV detection</w:t>
      </w:r>
      <w:bookmarkEnd w:id="32"/>
    </w:p>
    <w:p>
      <w:pPr>
        <w:pStyle w:val="4"/>
      </w:pPr>
      <w:bookmarkStart w:id="33" w:name="_Toc103966501"/>
      <w:bookmarkStart w:id="34" w:name="_Toc113353849"/>
      <w:r>
        <w:rPr>
          <w:lang w:val="en-US"/>
        </w:rPr>
        <w:t>5</w:t>
      </w:r>
      <w:r>
        <w:t>.</w:t>
      </w:r>
      <w:r>
        <w:rPr>
          <w:rFonts w:eastAsia="宋体"/>
          <w:lang w:val="en-US" w:eastAsia="zh-CN"/>
        </w:rPr>
        <w:t>1</w:t>
      </w:r>
      <w:r>
        <w:t>.1</w:t>
      </w:r>
      <w:r>
        <w:tab/>
      </w:r>
      <w:r>
        <w:t>Description</w:t>
      </w:r>
      <w:bookmarkEnd w:id="33"/>
      <w:bookmarkEnd w:id="34"/>
    </w:p>
    <w:p>
      <w:pPr>
        <w:overflowPunct w:val="0"/>
        <w:autoSpaceDE w:val="0"/>
        <w:autoSpaceDN w:val="0"/>
        <w:adjustRightInd w:val="0"/>
        <w:textAlignment w:val="baseline"/>
        <w:rPr>
          <w:rFonts w:eastAsia="Times New Roman"/>
          <w:lang w:eastAsia="ko-KR"/>
        </w:rPr>
      </w:pPr>
      <w:r>
        <w:rPr>
          <w:rFonts w:eastAsia="Times New Roman"/>
          <w:lang w:eastAsia="ko-KR"/>
        </w:rPr>
        <w:t>3GPP aerial features are activated based on "aerial subscription" flag specified in Rel-15. This implies that an operator using these features will provide drone users with USIMs that are associated to a user profile with the "aerial subscription" flag set.</w:t>
      </w:r>
    </w:p>
    <w:p>
      <w:pPr>
        <w:overflowPunct w:val="0"/>
        <w:autoSpaceDE w:val="0"/>
        <w:autoSpaceDN w:val="0"/>
        <w:adjustRightInd w:val="0"/>
        <w:textAlignment w:val="baseline"/>
        <w:rPr>
          <w:rFonts w:eastAsia="Times New Roman"/>
          <w:lang w:eastAsia="ko-KR"/>
        </w:rPr>
      </w:pPr>
      <w:r>
        <w:rPr>
          <w:rFonts w:eastAsia="Times New Roman"/>
          <w:lang w:eastAsia="ko-KR"/>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pPr>
        <w:overflowPunct w:val="0"/>
        <w:autoSpaceDE w:val="0"/>
        <w:autoSpaceDN w:val="0"/>
        <w:adjustRightInd w:val="0"/>
        <w:textAlignment w:val="baseline"/>
        <w:rPr>
          <w:rFonts w:eastAsia="Times New Roman"/>
          <w:lang w:val="en-US" w:eastAsia="ko-KR"/>
        </w:rPr>
      </w:pPr>
      <w:r>
        <w:rPr>
          <w:rFonts w:eastAsia="Times New Roman"/>
          <w:lang w:eastAsia="ko-KR"/>
        </w:rPr>
        <w:t xml:space="preserve">In this case, with current specifications, the 3GPP network is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p>
    <w:p>
      <w:pPr>
        <w:overflowPunct w:val="0"/>
        <w:autoSpaceDE w:val="0"/>
        <w:autoSpaceDN w:val="0"/>
        <w:adjustRightInd w:val="0"/>
        <w:textAlignment w:val="baseline"/>
        <w:rPr>
          <w:rFonts w:eastAsia="Times New Roman"/>
          <w:lang w:eastAsia="ko-KR"/>
        </w:rPr>
      </w:pPr>
      <w:r>
        <w:rPr>
          <w:rFonts w:eastAsia="Times New Roman"/>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pPr>
        <w:overflowPunct w:val="0"/>
        <w:autoSpaceDE w:val="0"/>
        <w:autoSpaceDN w:val="0"/>
        <w:adjustRightInd w:val="0"/>
        <w:textAlignment w:val="baseline"/>
        <w:rPr>
          <w:rFonts w:eastAsia="Times New Roman"/>
          <w:lang w:eastAsia="ko-KR"/>
        </w:rPr>
      </w:pPr>
      <w:r>
        <w:rPr>
          <w:rFonts w:eastAsia="Times New Roman"/>
          <w:lang w:eastAsia="ko-KR"/>
        </w:rPr>
        <w:t>There is therefore a need to enable the 5G System network to detect that a UE is on board a UAV, without relying on subscription information or on indication provided by the UE.</w:t>
      </w:r>
    </w:p>
    <w:p>
      <w:pPr>
        <w:pStyle w:val="4"/>
      </w:pPr>
      <w:bookmarkStart w:id="35" w:name="_Toc103966502"/>
      <w:bookmarkStart w:id="36" w:name="_Toc113353850"/>
      <w:r>
        <w:rPr>
          <w:lang w:val="en-US"/>
        </w:rPr>
        <w:t>5</w:t>
      </w:r>
      <w:r>
        <w:t>.</w:t>
      </w:r>
      <w:r>
        <w:rPr>
          <w:rFonts w:eastAsia="宋体"/>
          <w:lang w:val="en-US" w:eastAsia="zh-CN"/>
        </w:rPr>
        <w:t>1</w:t>
      </w:r>
      <w:r>
        <w:t>.2</w:t>
      </w:r>
      <w:r>
        <w:tab/>
      </w:r>
      <w:r>
        <w:t>Pre-conditions</w:t>
      </w:r>
      <w:bookmarkEnd w:id="35"/>
      <w:bookmarkEnd w:id="36"/>
    </w:p>
    <w:p>
      <w:pPr>
        <w:overflowPunct w:val="0"/>
        <w:autoSpaceDE w:val="0"/>
        <w:autoSpaceDN w:val="0"/>
        <w:adjustRightInd w:val="0"/>
        <w:textAlignment w:val="baseline"/>
        <w:rPr>
          <w:rFonts w:eastAsia="Times New Roman"/>
          <w:lang w:eastAsia="ko-KR"/>
        </w:rPr>
      </w:pPr>
      <w:r>
        <w:rPr>
          <w:rFonts w:eastAsia="Times New Roman"/>
          <w:lang w:eastAsia="ko-KR"/>
        </w:rPr>
        <w:t>A UAV user has inserted in a UE on board a UAV, a USIM that is associated to a user profile without the "aerial subscription" flag set.</w:t>
      </w:r>
    </w:p>
    <w:p>
      <w:pPr>
        <w:pStyle w:val="4"/>
      </w:pPr>
      <w:bookmarkStart w:id="37" w:name="_Toc103966503"/>
      <w:bookmarkStart w:id="38" w:name="_Toc113353851"/>
      <w:r>
        <w:rPr>
          <w:lang w:val="en-US"/>
        </w:rPr>
        <w:t>5</w:t>
      </w:r>
      <w:r>
        <w:t>.</w:t>
      </w:r>
      <w:r>
        <w:rPr>
          <w:rFonts w:eastAsia="宋体"/>
          <w:lang w:val="en-US" w:eastAsia="zh-CN"/>
        </w:rPr>
        <w:t>1</w:t>
      </w:r>
      <w:r>
        <w:t>.3</w:t>
      </w:r>
      <w:r>
        <w:tab/>
      </w:r>
      <w:r>
        <w:t>Service Flows</w:t>
      </w:r>
      <w:bookmarkEnd w:id="37"/>
      <w:bookmarkEnd w:id="38"/>
    </w:p>
    <w:p>
      <w:pPr>
        <w:pStyle w:val="47"/>
      </w:pPr>
      <w:r>
        <w:t>1.</w:t>
      </w:r>
      <w:r>
        <w:tab/>
      </w:r>
      <w:r>
        <w:t>The UE registers in 5GS and starts communicating. The UAV takes off.</w:t>
      </w:r>
    </w:p>
    <w:p>
      <w:pPr>
        <w:pStyle w:val="47"/>
      </w:pPr>
      <w:r>
        <w:t>2.</w:t>
      </w:r>
      <w:r>
        <w:tab/>
      </w:r>
      <w:r>
        <w:t>The network detects that the UE is on board a UAV.</w:t>
      </w:r>
    </w:p>
    <w:p>
      <w:pPr>
        <w:pStyle w:val="47"/>
      </w:pPr>
      <w:r>
        <w:t>3.</w:t>
      </w:r>
      <w:r>
        <w:tab/>
      </w:r>
      <w:r>
        <w:t>The network takes action, e.g. activates aerial features, changes the QoS, populates charging records, alert the UTM and/or let the UTM take over the communication used to control the UAV.</w:t>
      </w:r>
    </w:p>
    <w:p>
      <w:pPr>
        <w:pStyle w:val="4"/>
      </w:pPr>
      <w:bookmarkStart w:id="39" w:name="_Toc103966504"/>
      <w:bookmarkStart w:id="40" w:name="_Toc113353852"/>
      <w:r>
        <w:rPr>
          <w:lang w:val="en-US"/>
        </w:rPr>
        <w:t>5</w:t>
      </w:r>
      <w:r>
        <w:t>.</w:t>
      </w:r>
      <w:r>
        <w:rPr>
          <w:rFonts w:eastAsia="宋体"/>
          <w:lang w:val="en-US" w:eastAsia="zh-CN"/>
        </w:rPr>
        <w:t>1</w:t>
      </w:r>
      <w:r>
        <w:t>.4</w:t>
      </w:r>
      <w:r>
        <w:tab/>
      </w:r>
      <w:r>
        <w:t>Post-conditions</w:t>
      </w:r>
      <w:bookmarkEnd w:id="39"/>
      <w:bookmarkEnd w:id="40"/>
    </w:p>
    <w:p>
      <w:pPr>
        <w:overflowPunct w:val="0"/>
        <w:autoSpaceDE w:val="0"/>
        <w:autoSpaceDN w:val="0"/>
        <w:adjustRightInd w:val="0"/>
        <w:textAlignment w:val="baseline"/>
        <w:rPr>
          <w:rFonts w:eastAsia="Times New Roman"/>
          <w:lang w:eastAsia="ko-KR"/>
        </w:rPr>
      </w:pPr>
      <w:r>
        <w:rPr>
          <w:rFonts w:eastAsia="Times New Roman"/>
          <w:lang w:eastAsia="ko-KR"/>
        </w:rPr>
        <w:t>The UTM may take over the communication used to control the UAV and force the UAV to land safely.</w:t>
      </w:r>
    </w:p>
    <w:p>
      <w:pPr>
        <w:overflowPunct w:val="0"/>
        <w:autoSpaceDE w:val="0"/>
        <w:autoSpaceDN w:val="0"/>
        <w:adjustRightInd w:val="0"/>
        <w:textAlignment w:val="baseline"/>
        <w:rPr>
          <w:rFonts w:eastAsia="Times New Roman"/>
          <w:lang w:eastAsia="ko-KR"/>
        </w:rPr>
      </w:pPr>
      <w:r>
        <w:rPr>
          <w:rFonts w:eastAsia="Times New Roman"/>
          <w:lang w:eastAsia="ko-KR"/>
        </w:rPr>
        <w:t>Later, the UTM and/or network operator informs or reminds the user that a specific USIM needs to be used for proper operation of a UE on board a UAV.</w:t>
      </w:r>
    </w:p>
    <w:p>
      <w:pPr>
        <w:pStyle w:val="4"/>
      </w:pPr>
      <w:bookmarkStart w:id="41" w:name="_Toc113353853"/>
      <w:bookmarkStart w:id="42" w:name="_Toc103966505"/>
      <w:r>
        <w:rPr>
          <w:lang w:val="en-US"/>
        </w:rPr>
        <w:t>5</w:t>
      </w:r>
      <w:r>
        <w:t>.</w:t>
      </w:r>
      <w:r>
        <w:rPr>
          <w:rFonts w:eastAsia="宋体"/>
          <w:lang w:val="en-US" w:eastAsia="zh-CN"/>
        </w:rPr>
        <w:t>1</w:t>
      </w:r>
      <w:r>
        <w:t>.5</w:t>
      </w:r>
      <w:r>
        <w:tab/>
      </w:r>
      <w:r>
        <w:t>Existing feature</w:t>
      </w:r>
      <w:r>
        <w:rPr>
          <w:lang w:val="en-US"/>
        </w:rPr>
        <w:t>s</w:t>
      </w:r>
      <w:r>
        <w:t xml:space="preserve"> partly or fully covering</w:t>
      </w:r>
      <w:r>
        <w:rPr>
          <w:lang w:val="en-US"/>
        </w:rPr>
        <w:t xml:space="preserve"> the </w:t>
      </w:r>
      <w:r>
        <w:t>use case functionality</w:t>
      </w:r>
      <w:bookmarkEnd w:id="41"/>
      <w:bookmarkEnd w:id="42"/>
    </w:p>
    <w:p>
      <w:pPr>
        <w:pStyle w:val="47"/>
      </w:pPr>
      <w:r>
        <w:t>-</w:t>
      </w:r>
      <w:r>
        <w:tab/>
      </w:r>
      <w:r>
        <w:t>"aerial subscription" flag in subscription.</w:t>
      </w:r>
    </w:p>
    <w:p>
      <w:pPr>
        <w:pStyle w:val="47"/>
      </w:pPr>
      <w:r>
        <w:t>-</w:t>
      </w:r>
      <w:r>
        <w:tab/>
      </w:r>
      <w:r>
        <w:t>Provision of "CAA-level UAV ID" by the UE.</w:t>
      </w:r>
    </w:p>
    <w:p>
      <w:pPr>
        <w:pStyle w:val="47"/>
      </w:pPr>
      <w:r>
        <w:t>-</w:t>
      </w:r>
      <w:r>
        <w:tab/>
      </w:r>
      <w:r>
        <w:t>detection of UE above altitude thresholds by the eNB / gNB (per TS 36.331 &amp; 38.331)</w:t>
      </w:r>
    </w:p>
    <w:p>
      <w:pPr>
        <w:pStyle w:val="4"/>
      </w:pPr>
      <w:bookmarkStart w:id="43" w:name="_Toc103966506"/>
      <w:bookmarkStart w:id="44" w:name="_Toc113353854"/>
      <w:r>
        <w:rPr>
          <w:lang w:val="en-US"/>
        </w:rPr>
        <w:t>5</w:t>
      </w:r>
      <w:r>
        <w:t>.</w:t>
      </w:r>
      <w:r>
        <w:rPr>
          <w:rFonts w:eastAsia="宋体"/>
          <w:lang w:val="en-US" w:eastAsia="zh-CN"/>
        </w:rPr>
        <w:t>1</w:t>
      </w:r>
      <w:r>
        <w:t>.6</w:t>
      </w:r>
      <w:r>
        <w:tab/>
      </w:r>
      <w:r>
        <w:t>Potential New Requirements needed to support the use case</w:t>
      </w:r>
      <w:bookmarkEnd w:id="43"/>
      <w:bookmarkEnd w:id="44"/>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[PR 5.1.6-1]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p>
    <w:p>
      <w:pPr>
        <w:pStyle w:val="3"/>
        <w:rPr>
          <w:lang w:val="en-US"/>
        </w:rPr>
      </w:pPr>
      <w:bookmarkStart w:id="45" w:name="_Toc113353855"/>
      <w:r>
        <w:rPr>
          <w:rFonts w:hint="eastAsia"/>
          <w:lang w:val="en-US"/>
        </w:rPr>
        <w:t>5.2</w:t>
      </w:r>
      <w:r>
        <w:rPr>
          <w:rFonts w:hint="eastAsia"/>
          <w:lang w:val="en-US"/>
        </w:rPr>
        <w:tab/>
      </w:r>
      <w:r>
        <w:rPr>
          <w:rFonts w:hint="eastAsia"/>
          <w:lang w:val="en-US"/>
        </w:rPr>
        <w:t>Use case</w:t>
      </w:r>
      <w:r>
        <w:rPr>
          <w:lang w:val="en-US"/>
        </w:rPr>
        <w:t xml:space="preserve"> on</w:t>
      </w:r>
      <w:r>
        <w:rPr>
          <w:rFonts w:hint="eastAsia"/>
          <w:lang w:val="en-US"/>
        </w:rPr>
        <w:t xml:space="preserve"> </w:t>
      </w:r>
      <w:r>
        <w:rPr>
          <w:lang w:val="en-US"/>
        </w:rPr>
        <w:t>supporting UAV pre-flight preparation</w:t>
      </w:r>
      <w:bookmarkEnd w:id="45"/>
    </w:p>
    <w:p>
      <w:pPr>
        <w:pStyle w:val="4"/>
      </w:pPr>
      <w:bookmarkStart w:id="46" w:name="_Toc113353856"/>
      <w:r>
        <w:rPr>
          <w:lang w:val="en-US"/>
        </w:rPr>
        <w:t>5</w:t>
      </w:r>
      <w:r>
        <w:t>.</w:t>
      </w:r>
      <w:r>
        <w:rPr>
          <w:rFonts w:eastAsia="宋体"/>
          <w:lang w:val="en-US" w:eastAsia="zh-CN"/>
        </w:rPr>
        <w:t>2</w:t>
      </w:r>
      <w:r>
        <w:t>.1</w:t>
      </w:r>
      <w:r>
        <w:tab/>
      </w:r>
      <w:r>
        <w:t>Description</w:t>
      </w:r>
      <w:bookmarkEnd w:id="46"/>
    </w:p>
    <w:p>
      <w:pPr>
        <w:overflowPunct w:val="0"/>
        <w:autoSpaceDE w:val="0"/>
        <w:autoSpaceDN w:val="0"/>
        <w:adjustRightInd w:val="0"/>
        <w:textAlignment w:val="baseline"/>
        <w:rPr>
          <w:rFonts w:eastAsia="Times New Roman"/>
          <w:lang w:eastAsia="ko-KR"/>
        </w:rPr>
      </w:pPr>
      <w:r>
        <w:rPr>
          <w:rFonts w:eastAsia="Times New Roman"/>
          <w:lang w:val="en-US" w:eastAsia="ko-KR"/>
        </w:rPr>
        <w:t>D</w:t>
      </w:r>
      <w:r>
        <w:rPr>
          <w:rFonts w:eastAsia="Times New Roman"/>
          <w:lang w:eastAsia="ko-KR"/>
        </w:rPr>
        <w:t>uring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ensur</w:t>
      </w:r>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 for the real-time performance and stability of flight control link to guarantee the continuity of the flight.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5G network can provide wide-area, high-quality and secure connectivity that can enable cost-efficient drone operations beyond visual line-of-sight (BVLOS) range. In some industrial UAV scenarios, the UAV </w:t>
      </w:r>
      <w:r>
        <w:rPr>
          <w:rFonts w:eastAsia="Times New Roman"/>
          <w:lang w:val="en-US" w:eastAsia="ko-KR"/>
        </w:rPr>
        <w:t xml:space="preserve">would be </w:t>
      </w:r>
      <w:r>
        <w:rPr>
          <w:rFonts w:eastAsia="Times New Roman"/>
          <w:lang w:eastAsia="ko-KR"/>
        </w:rPr>
        <w:t>provided pre-schedul</w:t>
      </w:r>
      <w:r>
        <w:rPr>
          <w:rFonts w:eastAsia="Times New Roman"/>
          <w:lang w:val="en-US" w:eastAsia="ko-KR"/>
        </w:rPr>
        <w:t>ed</w:t>
      </w:r>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scheduling with the help of 3GPP network .</w:t>
      </w:r>
    </w:p>
    <w:p>
      <w:pPr>
        <w:pStyle w:val="4"/>
      </w:pPr>
      <w:bookmarkStart w:id="47" w:name="_Toc113353857"/>
      <w:r>
        <w:rPr>
          <w:lang w:val="en-US"/>
        </w:rPr>
        <w:t>5</w:t>
      </w:r>
      <w:r>
        <w:t>.</w:t>
      </w:r>
      <w:r>
        <w:rPr>
          <w:rFonts w:eastAsia="宋体"/>
          <w:lang w:val="en-US" w:eastAsia="zh-CN"/>
        </w:rPr>
        <w:t>2</w:t>
      </w:r>
      <w:r>
        <w:t>.2</w:t>
      </w:r>
      <w:r>
        <w:tab/>
      </w:r>
      <w:r>
        <w:t>Pre-conditions</w:t>
      </w:r>
      <w:bookmarkEnd w:id="47"/>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In the logistics company, UAV A and UAV B are both individual terminals for express delivery and subscribe the communication service from 5G network. </w:t>
      </w:r>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Operator A provides 5G network coverage and communication services for remote commands and control (C2) communication between UAV and UAV control platform . </w:t>
      </w:r>
    </w:p>
    <w:p>
      <w:pPr>
        <w:overflowPunct w:val="0"/>
        <w:autoSpaceDE w:val="0"/>
        <w:autoSpaceDN w:val="0"/>
        <w:adjustRightInd w:val="0"/>
        <w:textAlignment w:val="baseline"/>
        <w:rPr>
          <w:rFonts w:eastAsia="Times New Roman"/>
          <w:lang w:val="en-US" w:eastAsia="ko-KR"/>
        </w:rPr>
      </w:pPr>
      <w:r>
        <w:rPr>
          <w:rFonts w:eastAsia="Times New Roman"/>
          <w:lang w:val="en-US" w:eastAsia="ko-KR"/>
        </w:rPr>
        <w:t>The UTM has good cooperation with Operator A to have UAV-related information which is fetched from 5G network.</w:t>
      </w:r>
    </w:p>
    <w:p>
      <w:pPr>
        <w:pStyle w:val="4"/>
      </w:pPr>
      <w:bookmarkStart w:id="48" w:name="_Toc113353858"/>
      <w:r>
        <w:rPr>
          <w:lang w:val="en-US"/>
        </w:rPr>
        <w:t>5</w:t>
      </w:r>
      <w:r>
        <w:t>.</w:t>
      </w:r>
      <w:r>
        <w:rPr>
          <w:rFonts w:eastAsia="宋体"/>
          <w:lang w:val="en-US" w:eastAsia="zh-CN"/>
        </w:rPr>
        <w:t>2</w:t>
      </w:r>
      <w:r>
        <w:t>.3</w:t>
      </w:r>
      <w:r>
        <w:tab/>
      </w:r>
      <w:r>
        <w:t>Service Flows</w:t>
      </w:r>
      <w:bookmarkEnd w:id="48"/>
    </w:p>
    <w:p>
      <w:pPr>
        <w:pStyle w:val="49"/>
        <w:rPr>
          <w:lang w:val="en-US" w:eastAsia="zh-CN"/>
        </w:rPr>
      </w:pPr>
      <w:r>
        <w:rPr>
          <w:lang w:val="en-US" w:eastAsia="zh-CN"/>
        </w:rPr>
        <w:drawing>
          <wp:inline distT="0" distB="0" distL="114300" distR="114300">
            <wp:extent cx="4067810" cy="2453640"/>
            <wp:effectExtent l="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cstate="print"/>
                    <a:stretch>
                      <a:fillRect/>
                    </a:stretch>
                  </pic:blipFill>
                  <pic:spPr>
                    <a:xfrm>
                      <a:off x="0" y="0"/>
                      <a:ext cx="4067810" cy="2453640"/>
                    </a:xfrm>
                    <a:prstGeom prst="rect">
                      <a:avLst/>
                    </a:prstGeom>
                    <a:noFill/>
                    <a:ln>
                      <a:noFill/>
                    </a:ln>
                  </pic:spPr>
                </pic:pic>
              </a:graphicData>
            </a:graphic>
          </wp:inline>
        </w:drawing>
      </w:r>
    </w:p>
    <w:p>
      <w:pPr>
        <w:pStyle w:val="56"/>
        <w:rPr>
          <w:lang w:val="en-US" w:eastAsia="zh-CN"/>
        </w:rPr>
      </w:pPr>
      <w:r>
        <w:rPr>
          <w:lang w:eastAsia="zh-CN"/>
        </w:rPr>
        <w:t>Figure 5.2.3-1: Supporting UAV pre-flight preparation</w:t>
      </w:r>
    </w:p>
    <w:p>
      <w:pPr>
        <w:pStyle w:val="47"/>
        <w:rPr>
          <w:lang w:val="en-US" w:eastAsia="zh-CN"/>
        </w:rPr>
      </w:pPr>
      <w:r>
        <w:rPr>
          <w:rFonts w:hint="eastAsia"/>
          <w:lang w:val="en-US" w:eastAsia="zh-CN"/>
        </w:rPr>
        <w:t>1.</w:t>
      </w:r>
      <w:r>
        <w:rPr>
          <w:lang w:val="en-US" w:eastAsia="zh-CN"/>
        </w:rPr>
        <w:tab/>
      </w:r>
      <w:r>
        <w:rPr>
          <w:lang w:val="en-US" w:eastAsia="zh-CN"/>
        </w:rPr>
        <w:t>T</w:t>
      </w:r>
      <w:r>
        <w:rPr>
          <w:rFonts w:hint="eastAsia"/>
          <w:lang w:val="en-US" w:eastAsia="zh-CN"/>
        </w:rPr>
        <w:t>he logistics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p>
    <w:p>
      <w:pPr>
        <w:pStyle w:val="47"/>
        <w:rPr>
          <w:lang w:val="en-US" w:eastAsia="zh-CN"/>
        </w:rPr>
      </w:pPr>
      <w:r>
        <w:rPr>
          <w:rFonts w:hint="eastAsia"/>
          <w:lang w:val="en-US" w:eastAsia="zh-CN"/>
        </w:rPr>
        <w:t>2.</w:t>
      </w:r>
      <w:r>
        <w:rPr>
          <w:lang w:val="en-US" w:eastAsia="zh-CN"/>
        </w:rPr>
        <w:tab/>
      </w:r>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pPr>
        <w:pStyle w:val="47"/>
        <w:rPr>
          <w:lang w:val="en-US" w:eastAsia="zh-CN"/>
        </w:rPr>
      </w:pPr>
      <w:r>
        <w:rPr>
          <w:rFonts w:hint="eastAsia"/>
          <w:lang w:val="en-US" w:eastAsia="zh-CN"/>
        </w:rPr>
        <w:t>3.</w:t>
      </w:r>
      <w:r>
        <w:rPr>
          <w:lang w:val="en-US" w:eastAsia="zh-CN"/>
        </w:rPr>
        <w:tab/>
      </w:r>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information to UTM (</w:t>
      </w:r>
      <w:r>
        <w:rPr>
          <w:rFonts w:hint="eastAsia"/>
          <w:lang w:val="en-US" w:eastAsia="zh-CN"/>
        </w:rPr>
        <w:t xml:space="preserve">e.g. </w:t>
      </w:r>
      <w:r>
        <w:rPr>
          <w:lang w:val="en-US" w:eastAsia="zh-CN"/>
        </w:rPr>
        <w:t xml:space="preserve">flight path and required QoS along the planned flight path) </w:t>
      </w:r>
      <w:r>
        <w:rPr>
          <w:rFonts w:hint="eastAsia"/>
          <w:lang w:val="en-US" w:eastAsia="zh-CN"/>
        </w:rPr>
        <w:t>.</w:t>
      </w:r>
    </w:p>
    <w:p>
      <w:pPr>
        <w:pStyle w:val="47"/>
        <w:rPr>
          <w:lang w:val="en-US" w:eastAsia="zh-CN"/>
        </w:rPr>
      </w:pPr>
      <w:r>
        <w:rPr>
          <w:rFonts w:hint="eastAsia"/>
          <w:lang w:val="en-US" w:eastAsia="zh-CN"/>
        </w:rPr>
        <w:t>4.</w:t>
      </w:r>
      <w:r>
        <w:rPr>
          <w:lang w:val="en-US" w:eastAsia="zh-CN"/>
        </w:rPr>
        <w:tab/>
      </w:r>
      <w:r>
        <w:rPr>
          <w:lang w:val="en-US" w:eastAsia="zh-CN"/>
        </w:rPr>
        <w:t xml:space="preserve">UTM requests 5G network for QoS information/predictions/statistics along the flight path or alternative flight paths.. </w:t>
      </w:r>
    </w:p>
    <w:p>
      <w:pPr>
        <w:pStyle w:val="47"/>
        <w:rPr>
          <w:lang w:val="en-US" w:eastAsia="zh-CN"/>
        </w:rPr>
      </w:pPr>
      <w:r>
        <w:rPr>
          <w:rFonts w:hint="eastAsia"/>
          <w:lang w:val="en-US" w:eastAsia="zh-CN"/>
        </w:rPr>
        <w:t>5.</w:t>
      </w:r>
      <w:r>
        <w:rPr>
          <w:lang w:val="en-US" w:eastAsia="zh-CN"/>
        </w:rPr>
        <w:tab/>
      </w: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statistics/predictions (e.g. end-to-end latency, QoE) for specific requested area/areas.</w:t>
      </w:r>
    </w:p>
    <w:p>
      <w:pPr>
        <w:pStyle w:val="47"/>
        <w:rPr>
          <w:lang w:val="en-US" w:eastAsia="zh-CN"/>
        </w:rPr>
      </w:pPr>
      <w:r>
        <w:rPr>
          <w:rFonts w:hint="eastAsia"/>
          <w:lang w:val="en-US" w:eastAsia="zh-CN"/>
        </w:rPr>
        <w:t>6.</w:t>
      </w:r>
      <w:r>
        <w:rPr>
          <w:lang w:val="en-US" w:eastAsia="zh-CN"/>
        </w:rPr>
        <w:tab/>
      </w:r>
      <w:r>
        <w:rPr>
          <w:lang w:val="en-US" w:eastAsia="zh-CN"/>
        </w:rPr>
        <w:t>UTM/UAS determines the final flight paths based on the information from Operator A and sends to UAU/UAV-C A and UAV/UAV-C B separately.</w:t>
      </w:r>
    </w:p>
    <w:p>
      <w:pPr>
        <w:pStyle w:val="47"/>
      </w:pPr>
      <w:r>
        <w:rPr>
          <w:rFonts w:hint="eastAsia"/>
          <w:lang w:val="en-US" w:eastAsia="zh-CN"/>
        </w:rPr>
        <w:t>7.</w:t>
      </w:r>
      <w:r>
        <w:rPr>
          <w:lang w:val="en-US" w:eastAsia="zh-CN"/>
        </w:rPr>
        <w:tab/>
      </w:r>
      <w:r>
        <w:rPr>
          <w:rFonts w:hint="eastAsia"/>
          <w:lang w:val="en-US" w:eastAsia="zh-CN"/>
        </w:rPr>
        <w:t xml:space="preserve">UAV A and UAV B </w:t>
      </w:r>
      <w:r>
        <w:rPr>
          <w:lang w:val="en-US" w:eastAsia="zh-CN"/>
        </w:rPr>
        <w:t>receive the flight path information from UTM/UAS via 5G network and start flight mission</w:t>
      </w:r>
      <w:r>
        <w:rPr>
          <w:rFonts w:hint="eastAsia"/>
          <w:lang w:val="en-US" w:eastAsia="zh-CN"/>
        </w:rPr>
        <w:t>.</w:t>
      </w:r>
    </w:p>
    <w:p>
      <w:pPr>
        <w:pStyle w:val="4"/>
      </w:pPr>
      <w:bookmarkStart w:id="49" w:name="_Toc113353859"/>
      <w:r>
        <w:rPr>
          <w:lang w:val="en-US"/>
        </w:rPr>
        <w:t>5</w:t>
      </w:r>
      <w:r>
        <w:t>.</w:t>
      </w:r>
      <w:r>
        <w:rPr>
          <w:rFonts w:eastAsia="宋体"/>
          <w:lang w:val="en-US" w:eastAsia="zh-CN"/>
        </w:rPr>
        <w:t>2</w:t>
      </w:r>
      <w:r>
        <w:t>.4</w:t>
      </w:r>
      <w:r>
        <w:tab/>
      </w:r>
      <w:r>
        <w:t>Post-conditions</w:t>
      </w:r>
      <w:bookmarkEnd w:id="49"/>
    </w:p>
    <w:p>
      <w:pPr>
        <w:overflowPunct w:val="0"/>
        <w:autoSpaceDE w:val="0"/>
        <w:autoSpaceDN w:val="0"/>
        <w:adjustRightInd w:val="0"/>
        <w:textAlignment w:val="baseline"/>
        <w:rPr>
          <w:rFonts w:eastAsia="Times New Roman"/>
          <w:lang w:eastAsia="ko-KR"/>
        </w:rPr>
      </w:pPr>
      <w:r>
        <w:rPr>
          <w:rFonts w:eastAsia="Times New Roman"/>
          <w:lang w:val="en-US" w:eastAsia="ko-KR"/>
        </w:rPr>
        <w:t>UAV A and UAV B can finish their delivery tasks with the support of 5G network.</w:t>
      </w:r>
    </w:p>
    <w:p>
      <w:pPr>
        <w:pStyle w:val="4"/>
      </w:pPr>
      <w:bookmarkStart w:id="50" w:name="_Toc113353860"/>
      <w:r>
        <w:rPr>
          <w:lang w:val="en-US"/>
        </w:rPr>
        <w:t>5</w:t>
      </w:r>
      <w:r>
        <w:t>.</w:t>
      </w:r>
      <w:r>
        <w:rPr>
          <w:rFonts w:eastAsia="宋体"/>
          <w:lang w:val="en-US" w:eastAsia="zh-CN"/>
        </w:rPr>
        <w:t>2</w:t>
      </w:r>
      <w:r>
        <w:t>.5</w:t>
      </w:r>
      <w:r>
        <w:tab/>
      </w:r>
      <w:r>
        <w:t>Existing feature</w:t>
      </w:r>
      <w:r>
        <w:rPr>
          <w:lang w:val="en-US"/>
        </w:rPr>
        <w:t>s</w:t>
      </w:r>
      <w:r>
        <w:t xml:space="preserve"> partly or fully covering</w:t>
      </w:r>
      <w:r>
        <w:rPr>
          <w:lang w:val="en-US"/>
        </w:rPr>
        <w:t xml:space="preserve"> the </w:t>
      </w:r>
      <w:r>
        <w:t>use case functionality</w:t>
      </w:r>
      <w:bookmarkEnd w:id="50"/>
    </w:p>
    <w:p>
      <w:r>
        <w:rPr>
          <w:lang w:val="en-US" w:eastAsia="zh-CN"/>
        </w:rPr>
        <w:t>TBD.</w:t>
      </w:r>
    </w:p>
    <w:p>
      <w:pPr>
        <w:pStyle w:val="4"/>
      </w:pPr>
      <w:bookmarkStart w:id="51" w:name="_Toc113353861"/>
      <w:r>
        <w:rPr>
          <w:lang w:val="en-US"/>
        </w:rPr>
        <w:t>5</w:t>
      </w:r>
      <w:r>
        <w:t>.</w:t>
      </w:r>
      <w:r>
        <w:rPr>
          <w:rFonts w:eastAsia="宋体"/>
          <w:lang w:val="en-US" w:eastAsia="zh-CN"/>
        </w:rPr>
        <w:t>2</w:t>
      </w:r>
      <w:r>
        <w:t>.6</w:t>
      </w:r>
      <w:r>
        <w:tab/>
      </w:r>
      <w:r>
        <w:t>Potential New Requirements needed to support the use case</w:t>
      </w:r>
      <w:bookmarkEnd w:id="51"/>
    </w:p>
    <w:p>
      <w:pPr>
        <w:overflowPunct w:val="0"/>
        <w:autoSpaceDE w:val="0"/>
        <w:autoSpaceDN w:val="0"/>
        <w:adjustRightInd w:val="0"/>
        <w:textAlignment w:val="baseline"/>
        <w:rPr>
          <w:rFonts w:eastAsia="Times New Roman"/>
          <w:lang w:val="en-US" w:eastAsia="ko-KR"/>
        </w:rPr>
      </w:pPr>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r>
        <w:rPr>
          <w:rFonts w:eastAsia="Times New Roman"/>
          <w:lang w:val="en-US" w:eastAsia="ko-KR"/>
        </w:rPr>
        <w:t>2</w:t>
      </w:r>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Based on operator’s policy, the</w:t>
      </w:r>
      <w:r>
        <w:rPr>
          <w:rFonts w:eastAsia="Times New Roman"/>
          <w:lang w:val="en-US" w:eastAsia="ko-KR"/>
        </w:rPr>
        <w:t xml:space="preserve"> 5G system shall be able to provide a method to monitor and predict network condition (e.g. bitrate, latency, reliability) along the UAV continuous geographic path provided from UTM. </w:t>
      </w:r>
    </w:p>
    <w:p>
      <w:pPr>
        <w:pStyle w:val="48"/>
        <w:rPr>
          <w:rFonts w:eastAsia="Times New Roman"/>
          <w:lang w:eastAsia="en-GB"/>
        </w:rPr>
      </w:pPr>
      <w:r>
        <w:rPr>
          <w:rFonts w:hint="eastAsia" w:eastAsia="Malgun Gothic"/>
          <w:lang w:val="en-US" w:eastAsia="ko-KR"/>
        </w:rPr>
        <w:t>Editor's Note:</w:t>
      </w:r>
      <w:r>
        <w:rPr>
          <w:rFonts w:eastAsia="Malgun Gothic"/>
          <w:lang w:val="en-US" w:eastAsia="ko-KR"/>
        </w:rPr>
        <w:tab/>
      </w:r>
      <w:r>
        <w:rPr>
          <w:rFonts w:hint="eastAsia" w:eastAsia="Malgun Gothic"/>
          <w:lang w:val="en-US" w:eastAsia="ko-KR"/>
        </w:rPr>
        <w:t>More requirements are FFS.</w:t>
      </w:r>
    </w:p>
    <w:p>
      <w:pPr>
        <w:pStyle w:val="2"/>
      </w:pPr>
      <w:bookmarkStart w:id="52" w:name="_Toc113353862"/>
      <w:r>
        <w:rPr>
          <w:rFonts w:eastAsia="宋体"/>
          <w:lang w:val="en-US" w:eastAsia="zh-CN"/>
        </w:rPr>
        <w:t>6</w:t>
      </w:r>
      <w:r>
        <w:tab/>
      </w:r>
      <w:r>
        <w:t>Consolidated potential requirements</w:t>
      </w:r>
      <w:bookmarkEnd w:id="52"/>
    </w:p>
    <w:p/>
    <w:p>
      <w:pPr>
        <w:pStyle w:val="2"/>
      </w:pPr>
      <w:bookmarkStart w:id="53" w:name="_Toc113353863"/>
      <w:bookmarkStart w:id="54" w:name="_Toc103966507"/>
      <w:r>
        <w:rPr>
          <w:lang w:val="en-US"/>
        </w:rPr>
        <w:t>7</w:t>
      </w:r>
      <w:r>
        <w:tab/>
      </w:r>
      <w:r>
        <w:t>Conclusion and recommendations</w:t>
      </w:r>
      <w:bookmarkEnd w:id="53"/>
      <w:bookmarkEnd w:id="54"/>
    </w:p>
    <w:p/>
    <w:p>
      <w:pPr>
        <w:pStyle w:val="10"/>
      </w:pPr>
      <w:bookmarkStart w:id="55" w:name="_Toc113353864"/>
      <w:r>
        <w:t>Annex A (informative):</w:t>
      </w:r>
      <w:r>
        <w:br w:type="textWrapping"/>
      </w:r>
      <w:r>
        <w:t>Change history</w:t>
      </w:r>
      <w:bookmarkEnd w:id="55"/>
    </w:p>
    <w:p>
      <w:pPr>
        <w:pStyle w:val="49"/>
      </w:pPr>
      <w:bookmarkStart w:id="56" w:name="historyclause"/>
      <w:bookmarkEnd w:id="56"/>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rPr>
            </w:pPr>
            <w:r>
              <w:rPr>
                <w:sz w:val="16"/>
                <w:szCs w:val="16"/>
              </w:rPr>
              <w:t>2022-08</w:t>
            </w:r>
          </w:p>
        </w:tc>
        <w:tc>
          <w:tcPr>
            <w:tcW w:w="800" w:type="dxa"/>
            <w:shd w:val="solid" w:color="FFFFFF" w:fill="auto"/>
          </w:tcPr>
          <w:p>
            <w:pPr>
              <w:pStyle w:val="41"/>
              <w:rPr>
                <w:sz w:val="16"/>
                <w:szCs w:val="16"/>
              </w:rPr>
            </w:pPr>
            <w:r>
              <w:rPr>
                <w:sz w:val="16"/>
                <w:szCs w:val="16"/>
              </w:rPr>
              <w:t>SA1#99-e</w:t>
            </w:r>
          </w:p>
        </w:tc>
        <w:tc>
          <w:tcPr>
            <w:tcW w:w="1094" w:type="dxa"/>
            <w:shd w:val="solid" w:color="FFFFFF" w:fill="auto"/>
          </w:tcPr>
          <w:p>
            <w:pPr>
              <w:pStyle w:val="41"/>
              <w:rPr>
                <w:sz w:val="16"/>
                <w:szCs w:val="16"/>
                <w:lang w:val="en-US"/>
              </w:rPr>
            </w:pPr>
            <w:r>
              <w:rPr>
                <w:sz w:val="16"/>
                <w:szCs w:val="16"/>
                <w:lang w:val="en-US"/>
              </w:rPr>
              <w:t>S1-222402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rPr>
            </w:pPr>
            <w:r>
              <w:rPr>
                <w:sz w:val="16"/>
                <w:szCs w:val="16"/>
              </w:rPr>
              <w:t>TR skeleton</w:t>
            </w:r>
          </w:p>
        </w:tc>
        <w:tc>
          <w:tcPr>
            <w:tcW w:w="708" w:type="dxa"/>
            <w:shd w:val="solid" w:color="FFFFFF" w:fill="auto"/>
          </w:tcPr>
          <w:p>
            <w:pPr>
              <w:pStyle w:val="41"/>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rPr>
            </w:pPr>
            <w:r>
              <w:rPr>
                <w:sz w:val="16"/>
                <w:szCs w:val="16"/>
                <w:lang w:val="en-US"/>
              </w:rPr>
              <w:t>2022-09</w:t>
            </w:r>
          </w:p>
        </w:tc>
        <w:tc>
          <w:tcPr>
            <w:tcW w:w="800" w:type="dxa"/>
            <w:shd w:val="solid" w:color="FFFFFF" w:fill="auto"/>
          </w:tcPr>
          <w:p>
            <w:pPr>
              <w:pStyle w:val="41"/>
              <w:rPr>
                <w:sz w:val="16"/>
                <w:szCs w:val="16"/>
                <w:lang w:val="en-US"/>
              </w:rPr>
            </w:pPr>
            <w:r>
              <w:rPr>
                <w:sz w:val="16"/>
                <w:szCs w:val="16"/>
                <w:lang w:val="en-US"/>
              </w:rPr>
              <w:t>SA1#99-e</w:t>
            </w:r>
          </w:p>
        </w:tc>
        <w:tc>
          <w:tcPr>
            <w:tcW w:w="1094" w:type="dxa"/>
            <w:shd w:val="solid" w:color="FFFFFF" w:fill="auto"/>
          </w:tcPr>
          <w:p>
            <w:pPr>
              <w:pStyle w:val="41"/>
              <w:rPr>
                <w:sz w:val="16"/>
                <w:szCs w:val="16"/>
                <w:lang w:val="en-US"/>
              </w:rPr>
            </w:pPr>
            <w:r>
              <w:rPr>
                <w:sz w:val="16"/>
                <w:szCs w:val="16"/>
                <w:lang w:val="en-US"/>
              </w:rPr>
              <w:t>S1-222403,</w:t>
            </w:r>
          </w:p>
          <w:p>
            <w:pPr>
              <w:pStyle w:val="41"/>
              <w:rPr>
                <w:sz w:val="16"/>
                <w:szCs w:val="16"/>
                <w:lang w:val="en-US"/>
              </w:rPr>
            </w:pPr>
            <w:r>
              <w:rPr>
                <w:sz w:val="16"/>
                <w:szCs w:val="16"/>
                <w:lang w:val="en-US"/>
              </w:rPr>
              <w:t>S1-222404,</w:t>
            </w:r>
          </w:p>
          <w:p>
            <w:pPr>
              <w:pStyle w:val="41"/>
              <w:rPr>
                <w:sz w:val="16"/>
                <w:szCs w:val="16"/>
                <w:lang w:val="en-US"/>
              </w:rPr>
            </w:pPr>
            <w:r>
              <w:rPr>
                <w:sz w:val="16"/>
                <w:szCs w:val="16"/>
                <w:lang w:val="en-US"/>
              </w:rPr>
              <w:t>S1-222405,</w:t>
            </w:r>
          </w:p>
          <w:p>
            <w:pPr>
              <w:pStyle w:val="41"/>
              <w:rPr>
                <w:sz w:val="16"/>
                <w:szCs w:val="16"/>
                <w:lang w:val="en-US"/>
              </w:rPr>
            </w:pPr>
            <w:r>
              <w:rPr>
                <w:sz w:val="16"/>
                <w:szCs w:val="16"/>
                <w:lang w:val="en-US"/>
              </w:rPr>
              <w:t>S1-222406</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rPr>
            </w:pPr>
            <w:r>
              <w:rPr>
                <w:sz w:val="16"/>
                <w:szCs w:val="16"/>
                <w:lang w:val="en-US"/>
              </w:rPr>
              <w:t>Scope</w:t>
            </w:r>
          </w:p>
          <w:p>
            <w:pPr>
              <w:pStyle w:val="39"/>
              <w:rPr>
                <w:sz w:val="16"/>
                <w:szCs w:val="16"/>
                <w:lang w:val="en-US"/>
              </w:rPr>
            </w:pPr>
            <w:r>
              <w:rPr>
                <w:sz w:val="16"/>
                <w:szCs w:val="16"/>
                <w:lang w:val="en-US"/>
              </w:rPr>
              <w:t>Overview</w:t>
            </w:r>
          </w:p>
          <w:p>
            <w:pPr>
              <w:pStyle w:val="39"/>
            </w:pPr>
            <w:r>
              <w:t>New use case - UAV detection</w:t>
            </w:r>
          </w:p>
          <w:p>
            <w:pPr>
              <w:pStyle w:val="39"/>
              <w:rPr>
                <w:lang w:val="en-US"/>
              </w:rPr>
            </w:pPr>
            <w:r>
              <w:rPr>
                <w:lang w:val="en-US"/>
              </w:rPr>
              <w:t>New use case_Supporting UAV pre-flight preparation</w:t>
            </w:r>
          </w:p>
        </w:tc>
        <w:tc>
          <w:tcPr>
            <w:tcW w:w="708" w:type="dxa"/>
            <w:shd w:val="solid" w:color="FFFFFF" w:fill="auto"/>
          </w:tcPr>
          <w:p>
            <w:pPr>
              <w:pStyle w:val="41"/>
              <w:rPr>
                <w:sz w:val="16"/>
                <w:szCs w:val="16"/>
                <w:lang w:val="en-US"/>
              </w:rPr>
            </w:pPr>
            <w:r>
              <w:rPr>
                <w:sz w:val="16"/>
                <w:szCs w:val="16"/>
                <w:lang w:val="en-US"/>
              </w:rPr>
              <w:t>0.1.0</w:t>
            </w:r>
          </w:p>
        </w:tc>
      </w:tr>
    </w:tbl>
    <w:p>
      <w:pPr>
        <w:pStyle w:val="65"/>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22.843 V0.1.0 (2022-09)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37C3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contextualSpacing w:val="0"/>
      <w:pPrChange w:id="0" w:author="Rapporteur" w:date="2022-09-06T14:08:00Z">
        <w:pPr>
          <w:spacing w:after="180"/>
          <w:ind w:left="568" w:hanging="284"/>
          <w:contextualSpacing/>
        </w:pPr>
      </w:pPrChange>
    </w:pPr>
    <w:rPr>
      <w:rFonts w:eastAsia="Times New Roman"/>
      <w:rPrChange w:id="1" w:author="Rapporteur" w:date="2022-09-06T14:08:00Z">
        <w:rPr>
          <w:lang w:val="en-GB" w:eastAsia="en-US" w:bidi="ar-SA"/>
        </w:rPr>
      </w:rPrChange>
    </w:r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paragraph" w:customStyle="1" w:styleId="68">
    <w:name w:val="x_b10"/>
    <w:basedOn w:val="1"/>
    <w:qFormat/>
    <w:uiPriority w:val="0"/>
    <w:pPr>
      <w:autoSpaceDE w:val="0"/>
      <w:autoSpaceDN w:val="0"/>
      <w:ind w:left="568" w:hanging="284"/>
    </w:pPr>
    <w:rPr>
      <w:rFonts w:eastAsia="Calibri"/>
      <w:lang w:val="en-US"/>
    </w:rPr>
  </w:style>
  <w:style w:type="character" w:customStyle="1" w:styleId="69">
    <w:name w:val="文档结构图 字符"/>
    <w:basedOn w:val="28"/>
    <w:link w:val="19"/>
    <w:qFormat/>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E0828-7BA7-47E2-8DCA-A1D91C54B2E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2372</Words>
  <Characters>13984</Characters>
  <Lines>116</Lines>
  <Paragraphs>32</Paragraphs>
  <TotalTime>3</TotalTime>
  <ScaleCrop>false</ScaleCrop>
  <LinksUpToDate>false</LinksUpToDate>
  <CharactersWithSpaces>16324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2022-09-06T06:17:00Z</dcterms:created>
  <dc:creator>MCC Support</dc:creator>
  <cp:keywords>&lt;keyword[, keyword, ]&gt;</cp:keywords>
  <cp:lastModifiedBy>Rapporteur</cp:lastModifiedBy>
  <cp:lastPrinted>2019-02-25T14:05:00Z</cp:lastPrinted>
  <dcterms:modified xsi:type="dcterms:W3CDTF">2022-09-06T06:23:22Z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